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7"/>
        <w:rPr>
          <w:rFonts w:eastAsia="Times New Roman"/>
          <w:lang w:val="en-US"/>
        </w:rPr>
      </w:pP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</w:r>
      <w:r>
        <w:rPr>
          <w:rFonts w:eastAsia="Times New Roman"/>
          <w:lang w:val="en-US"/>
        </w:rPr>
      </w:r>
    </w:p>
    <w:tbl>
      <w:tblPr>
        <w:tblW w:w="9360" w:type="dxa"/>
        <w:tblInd w:w="-1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19"/>
        <w:gridCol w:w="7941"/>
      </w:tblGrid>
      <w:tr>
        <w:tblPrEx/>
        <w:trPr>
          <w:trHeight w:val="1135"/>
        </w:trPr>
        <w:tc>
          <w:tcPr>
            <w:tcBorders>
              <w:bottom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pStyle w:val="847"/>
              <w:spacing w:before="0"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en-US"/>
              </w:rPr>
            </w:r>
          </w:p>
          <w:p>
            <w:pPr>
              <w:pStyle w:val="847"/>
              <w:spacing w:before="0"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8675" cy="614045"/>
                      <wp:effectExtent l="0" t="0" r="0" b="0"/>
                      <wp:docPr id="1" name="Рисунок 5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5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rcRect l="35102" t="19950" r="54924" b="7073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8675" cy="614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25pt;height:48.3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94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</w:rPr>
              <w:t xml:space="preserve">ГОСУДАРСТВЕННОЕ БЮДЖЕТНОЕ ПРОФЕССИОЛНВЛЬНОЕ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</w:rPr>
            </w:r>
          </w:p>
        </w:tc>
      </w:tr>
    </w:tbl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РАБОЧАЯ ПРОГРАММА 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jc w:val="center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ОП.02 Математика в профессиональной деятельности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15.02.16 «Технология машиностроения»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bCs/>
          <w:iCs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4"/>
          <w:szCs w:val="24"/>
          <w:lang w:eastAsia="ru-RU"/>
        </w:rPr>
        <w:t xml:space="preserve">202</w:t>
      </w:r>
      <w:r>
        <w:rPr>
          <w:b w:val="0"/>
          <w:bCs w:val="0"/>
          <w:sz w:val="24"/>
          <w:szCs w:val="24"/>
        </w:rPr>
        <w:t xml:space="preserve">5</w:t>
      </w:r>
      <w:r>
        <w:br w:type="page" w:clear="all"/>
      </w:r>
      <w:r>
        <w:rPr>
          <w:rFonts w:ascii="Times New Roman" w:hAnsi="Times New Roman" w:eastAsia="Times New Roman" w:cs="Times New Roman"/>
          <w:b/>
          <w:bCs/>
          <w:iCs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lang w:eastAsia="ru-RU"/>
        </w:rPr>
      </w:r>
    </w:p>
    <w:p>
      <w:pPr>
        <w:pStyle w:val="883"/>
        <w:jc w:val="center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692"/>
        <w:numPr>
          <w:ilvl w:val="0"/>
          <w:numId w:val="7"/>
        </w:numPr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pStyle w:val="847"/>
        <w:numPr>
          <w:ilvl w:val="0"/>
          <w:numId w:val="5"/>
        </w:numPr>
        <w:jc w:val="center"/>
        <w:spacing w:before="0" w:after="0" w:line="256" w:lineRule="auto"/>
      </w:pPr>
      <w:r>
        <w:br w:type="page" w:clear="all"/>
      </w:r>
      <w:r/>
    </w:p>
    <w:p>
      <w:pPr>
        <w:pStyle w:val="847"/>
        <w:jc w:val="center"/>
        <w:spacing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jc w:val="center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ОП.02 Математика в профессиональной деятельности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ОП.02 Математика в профессиональной деятельности»: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приобретение знаний и умений для подготовки к освоению видов профессиональной деятельности, а также формирование общих и профессиональных компетенций.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«ОП.02 </w:t>
      </w:r>
      <w:r>
        <w:rPr>
          <w:rFonts w:ascii="Times New Roman" w:hAnsi="Times New Roman"/>
          <w:sz w:val="24"/>
          <w:szCs w:val="24"/>
        </w:rPr>
        <w:t xml:space="preserve">Математика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общепрофессионального цикла образовательной программы.</w:t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6"/>
        <w:gridCol w:w="2693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858"/>
                <w:b/>
                <w:i w:val="0"/>
                <w:sz w:val="24"/>
                <w:szCs w:val="24"/>
              </w:rPr>
              <w:t xml:space="preserve">Код ОК, ПК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Должен знать: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 ПК 1.1.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1.3.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2.2.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режимов резания с помощью CAD/CAM систем, разрабатывать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3.2.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технологичность сборочных единиц при ручной механизированной сборке, поточно-механизированной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автоматизированной сборке, правила и порядок разработки технологического процес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4.2.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обеспечивать безопасность работ по наладке,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нормы охраны труда и бережливого производства, в том числе с использованием SCADA систем;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4.3.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расчеты, связанные с наладкой работы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правила выполнения расчетов, связанных с наладкой работы металлорежущего и аддитивного оборудования, методы наладки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4.5.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расчеты, связанные с наладкой работы металлорежущего и аддитивного оборудования, оценивать точность функционирования металлорежущего оборудования на технологических позициях производственных участков;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объемы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порядок работ по наладке и техобслуживанию;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5.1.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цехов, методику расчета показателей эффективности использования основного и вспомогательного оборудования машиностроительного производства,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ПК 5.2.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оценивать наличие и потребность в материальных ресурса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х для обеспечения производственных задач, формировать рабочие задания и инструкции к ним в соответствии с производственными задачами, рассчитывать энергетические, информационные и материально-технические ресурсы в соответствии с производственными задачами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го подразделения,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jc w:val="center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847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7"/>
        <w:spacing w:before="0" w:after="24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br w:type="page" w:clear="all"/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47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62"/>
        <w:gridCol w:w="1931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spacing w:before="0" w:after="200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793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62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/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31" w:type="dxa"/>
            <w:vAlign w:val="center"/>
            <w:textDirection w:val="lrTb"/>
            <w:noWrap w:val="false"/>
          </w:tcPr>
          <w:p>
            <w:pPr>
              <w:pStyle w:val="847"/>
              <w:jc w:val="center"/>
              <w:spacing w:before="0"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pStyle w:val="847"/>
        <w:spacing w:before="0" w:after="120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847"/>
        <w:rPr>
          <w:b/>
          <w:bCs/>
        </w:rPr>
      </w:pPr>
      <w:r>
        <w:rPr>
          <w:b/>
          <w:bCs/>
        </w:rPr>
        <w:t xml:space="preserve">2.2. Содержание  дисциплины </w:t>
      </w:r>
      <w:r>
        <w:rPr>
          <w:b/>
          <w:bCs/>
        </w:rPr>
      </w:r>
      <w:r>
        <w:rPr>
          <w:b/>
          <w:bCs/>
        </w:rPr>
      </w:r>
    </w:p>
    <w:tbl>
      <w:tblPr>
        <w:tblW w:w="5291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92"/>
        <w:gridCol w:w="10143"/>
        <w:gridCol w:w="1843"/>
        <w:gridCol w:w="1559"/>
        <w:gridCol w:w="182"/>
        <w:gridCol w:w="34"/>
        <w:gridCol w:w="216"/>
      </w:tblGrid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практически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 лабораторны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заняти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й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акад ч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5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Математический анализ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6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Теория пределов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0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tabs>
                <w:tab w:val="clear" w:pos="708" w:leader="none"/>
                <w:tab w:val="right" w:pos="4729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103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№1: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Вычисление пределов функции с использованием первого и второго замечательного пределов.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                                          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103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№2: 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Вычисление пределов функции с применением теорем о пределах функций.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Производная, исследование функций с помощью производных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ПК 1.1.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4.5.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№3: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Дифференцирование сложных функций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№4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Исследование функций на экстремум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№5: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Исследование функций на выпуклость, вогнутость, перегиб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Практическое занятие №6: Построение графиков функций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Тема 1.3. Интегральное исчисление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shd w:val="clear" w:color="d9d9d9" w:themeColor="background1" w:themeShade="D9" w:fill="d9d9d9" w:themeFill="background1" w:themeFillShade="D9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 xml:space="preserve">ПК 1.3, ПК 2.2.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№7: Вычисление интегралов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№8: Интегрирование способом подстановки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№9: Вычисление определенного интеграла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Практическое занятие №10: Вычисление площадей криволинейных фигур, объемов тел вращения, работы, давления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5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2. Комплексные числа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7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Тема 2.1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Основные свойства комплексных чисел и действия над ними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shd w:val="clear" w:color="d9d9d9" w:themeColor="background1" w:themeShade="D9" w:fill="d9d9d9" w:themeFill="background1" w:themeFillShade="D9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 xml:space="preserve">ОК 01, ПК 3.2., ПК 4.2.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6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№11: Действия над комплексными числами в алгебраической форме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6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№12: Решение задач на нахождение модуля и аргумента комплексных чисел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26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№13: Геометрическая интерпретация комплексного числа.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26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№14:  Решение задач на геометрическое представление комплексного числа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26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№15:  Степени мнимой единицы.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31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Тригонометрическая форма комплексного числа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shd w:val="clear" w:color="d9d9d9" w:themeColor="background1" w:themeShade="D9" w:fill="d9d9d9" w:themeFill="background1" w:themeFillShade="D9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 xml:space="preserve">ОК 01, ОК 02, ПК 4.3. ПК 5.1. ПК 5.2.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Практическое занятие №16: Действия над комплексными числами в тригонометрической форме.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№17: Показательная форма комплексного числа.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№18: Решение квадратных уравней, имеющих мнимые корни.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№19: Решение задач на перевод комплексных чисел в различные формы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jc w:val="both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5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3. Линейная алгебра и теория вероятностей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183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Матрицы и определители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 xml:space="preserve">ОК 01, ПК 3.2., ПК 4.2.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5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№20: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Действия с матрицами: сложение, вычитание матриц, умножение матрицы на число, транспонирование матриц, умножение матриц, возведение в степень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568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Практическое занятие №21: Решение СЛАУ методом Кремера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5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№22: Решение СЛАУ методом Гаусса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409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Классическое определение вероятности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  <w:t xml:space="preserve">ОК 01, ПК 3.2., ПК 4.2.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№23: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Решение задач на расчет количества выборок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tabs>
                <w:tab w:val="clear" w:pos="708" w:leader="none"/>
                <w:tab w:val="left" w:pos="3165" w:leader="none"/>
              </w:tabs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 №24: Решение заданий на классическое определение вероятности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" w:type="dxa"/>
            <w:vMerge w:val="continue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5" w:type="dxa"/>
            <w:vMerge w:val="restart"/>
            <w:textDirection w:val="lrTb"/>
            <w:noWrap w:val="false"/>
          </w:tcPr>
          <w:p>
            <w:pPr>
              <w:pStyle w:val="847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vMerge w:val="restart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3"/>
        </w:trPr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35" w:type="dxa"/>
            <w:textDirection w:val="lrTb"/>
            <w:noWrap w:val="false"/>
          </w:tcPr>
          <w:p>
            <w:pPr>
              <w:pStyle w:val="847"/>
              <w:jc w:val="right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1" w:type="dxa"/>
            <w:textDirection w:val="lrTb"/>
            <w:noWrap w:val="false"/>
          </w:tcPr>
          <w:p>
            <w:pPr>
              <w:pStyle w:val="847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</w:tbl>
    <w:p>
      <w:pPr>
        <w:pStyle w:val="847"/>
        <w:jc w:val="both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pStyle w:val="847"/>
        <w:jc w:val="both"/>
        <w:rPr>
          <w:rFonts w:ascii="Times New Roman" w:hAnsi="Times New Roman" w:eastAsia="Times New Roman" w:cs="Times New Roman"/>
          <w:bCs/>
          <w:i/>
          <w:lang w:eastAsia="ru-RU"/>
        </w:rPr>
        <w:sectPr>
          <w:footnotePr>
            <w:numFmt w:val="decimal"/>
          </w:footnotePr>
          <w:endnotePr/>
          <w:type w:val="nextPage"/>
          <w:pgSz w:w="16838" w:h="11906" w:orient="landscape"/>
          <w:pgMar w:top="851" w:right="1134" w:bottom="851" w:left="992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pStyle w:val="847"/>
        <w:jc w:val="center"/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</w:p>
    <w:p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3.1. Материально-техническое обеспечение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 w:cs="Times New Roman"/>
          <w:bCs/>
          <w:sz w:val="24"/>
          <w:szCs w:val="24"/>
        </w:rPr>
        <w:t xml:space="preserve">Кабинет «Математика»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оборудованием и техническими средствами обучения: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индивидуальные рабочие места для обучающ</w:t>
      </w:r>
      <w:r>
        <w:rPr>
          <w:rFonts w:ascii="Times New Roman" w:hAnsi="Times New Roman" w:cs="Times New Roman"/>
          <w:sz w:val="24"/>
          <w:szCs w:val="24"/>
        </w:rPr>
        <w:t xml:space="preserve">ихся,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рабочее место преподавателя,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классная доска,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интерактивная доска,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лицензионное программное обеспечение в соответствии с содержанием дисциплины (Windows, PhotoShop, CorelDraw),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авторский электронный учебник,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учебно-методический комплекс дисциплины и т</w:t>
      </w:r>
      <w:r>
        <w:rPr>
          <w:rFonts w:ascii="Times New Roman" w:hAnsi="Times New Roman" w:cs="Times New Roman"/>
          <w:bCs/>
          <w:sz w:val="24"/>
          <w:szCs w:val="24"/>
        </w:rPr>
        <w:t xml:space="preserve">ехнические средства обучения: </w:t>
      </w:r>
      <w:r>
        <w:rPr>
          <w:rFonts w:ascii="Times New Roman" w:hAnsi="Times New Roman" w:cs="Times New Roman"/>
          <w:sz w:val="24"/>
          <w:szCs w:val="24"/>
        </w:rPr>
        <w:t xml:space="preserve">персональный компьютер, демонстрационный мультимедийный комплекс.</w:t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pStyle w:val="847"/>
        <w:jc w:val="both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индивидуальные чертежные столы,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before="0" w:after="0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комплекты чертежных инструментов (готовальня, линейки, транспортир, карандаши марок «ТМ», «М», «Т», ластик, инструмент для заточки карандаша).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both"/>
        <w:spacing w:before="0" w:after="0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884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692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1.Григорьев В.П. Математика: учебное издание / Григорьев В.П., Сабурова Т.Н. - Москва : Академия, 2024. - 368 c. (Специальности среднего профессионального образования). - URL: https://academia-library.ru - Текст : электронный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Канцедал, С. А. Дискретная математика : учебное пособие / С. А. Канцедал. — Москва : ФОРУМ : ИНФРА-М, 2022. — 222 с. — (Среднее профессиональное образование). - ISBN 978-5-8199-0719-1. - Текст : электронный. - URL: https://znanium.ru/catalog/product/184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3569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Кацман, Ю. Я. Теория вероятностей и математическая статистика. Примеры с решениями : учебник для среднего профессионального образования / Ю. Я. Кацман. — Москва : Издательство Юрайт, 2022. — 130 с. — (Профессиональное образование). — ISBN 978-5-534-1008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3-9. — Текст : электронный // Образовательная платформа Юрайт [сайт]. — URL: https://urait.ru/bcode/490334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Кашапова, Ф. Р. Высшая математика. Общая алгебра в задачах : учебное пособие для среднего профессионального образования / Ф. Р. Кашапова, И. А. Кашапов, Т. Н. Фоменко. — 2-е изд., перераб. и доп. — Москва : Издательство Юрайт, 2023. — 128 с. — (Професси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ональное образование). — ISBN 978-5-534-11363-1. — Текст : электронный // Образовательная платформа Юрайт [сайт]. — URL: https://urait.ru/bcode/515305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Матвеева, Т. А. Математика : учебное пособие для СПО / Т. А. Матвеева, Н. Г. Рыжкова, Л. В. Шевелева ; под редакцией Д. В. Александрова. — 2-е изд. — Саратов, Екатеринбург : Профобразование, Уральский федеральный университет, 2019. — 215 c. — ISBN 978-5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-4488-0397-0, 978-5-7996-2868-0. — Текст : электронный // Электронный ресурс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цифровой образовательной среды СПО PROFобразование : [сайт]. — URL: https://profspo.ru/books/87821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6. Спирина М. С. Теория вероятностей и математическая статистика: учебное издание / Спирина М. С., Спирин П.А. - Москва : Академия, 2023. - 352 c. (Специальности среднего профессионального образования). - URL: https://academia-library.ru - Текст : электрон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0" w:after="0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both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7"/>
        <w:contextualSpacing/>
        <w:ind w:left="0" w:firstLine="0"/>
        <w:spacing w:before="0" w:after="0" w:line="240" w:lineRule="auto"/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1.Богомолов, Н. В.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Практические занятия по математике в 2 ч. Часть 1 : учебное пособие для среднего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профессионального образования / Н. В. Богомолов. — 11-е изд., перераб. и доп. — Москва : Издательство Юрайт, 2022. — 326 с. — (Профессиональное образование). — ISBN 978-5-534-08799-4. — Текст : электронный // Образовательная платформа Юрайт [сайт]. — URL: </w:t>
      </w:r>
      <w:hyperlink r:id="rId10" w:tooltip="https://urait.ru/bcode/490666" w:history="1">
        <w:r>
          <w:rPr>
            <w:rStyle w:val="861"/>
            <w:rFonts w:ascii="Times New Roman" w:hAnsi="Times New Roman" w:eastAsia="Times New Roman" w:cs="Times New Roman"/>
            <w:color w:val="486c97"/>
            <w:sz w:val="24"/>
            <w:szCs w:val="24"/>
            <w:shd w:val="clear" w:color="auto" w:fill="ffffff"/>
            <w:lang w:eastAsia="ru-RU"/>
          </w:rPr>
          <w:t xml:space="preserve">https://urait.ru/bcode/490666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</w:t>
      </w:r>
      <w:r/>
    </w:p>
    <w:p>
      <w:pPr>
        <w:pStyle w:val="847"/>
        <w:contextualSpacing/>
        <w:ind w:left="0" w:firstLine="0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2.Богомолов, Н. В.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Практические занятия по математике в 2 ч. Часть 2 : учебное пособие для среднего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профессионального образования / Н. В. Богомолов. — 11-е изд., перераб. и доп. — Москва : Издательство Юрайт, 2022. — 251 с. — (Профессиональное образование). — ISBN 978-5-534-08803-8. — Текст : электронный // Образовательная платформа Юрайт [сайт]. — URL: </w:t>
      </w:r>
      <w:hyperlink r:id="rId11" w:tooltip="https://urait.ru/bcode/490667" w:history="1">
        <w:r>
          <w:rPr>
            <w:rStyle w:val="861"/>
            <w:rFonts w:ascii="Times New Roman" w:hAnsi="Times New Roman" w:eastAsia="Times New Roman" w:cs="Times New Roman"/>
            <w:color w:val="486c97"/>
            <w:sz w:val="24"/>
            <w:szCs w:val="24"/>
            <w:lang w:eastAsia="ru-RU"/>
          </w:rPr>
          <w:t xml:space="preserve">https://urait.ru/bcode/490667</w:t>
        </w:r>
      </w:hyperlink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ind w:left="0" w:firstLine="0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  <w:t xml:space="preserve">3.Попов, А. М. Теория вероятностей и 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  <w:t xml:space="preserve">атематическая статистика : учебник для среднего профессионального образования / А. М. Попов, В. Н. Сотников ; под редакцией А. М. Попова. – 2-е изд., испр. и доп. – Москва : Юрайт, 2019. – 434 с. – (Профессиональное образование). – ISBN 978-5-534-01058-9.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</w:p>
    <w:p>
      <w:pPr>
        <w:pStyle w:val="847"/>
        <w:ind w:left="0" w:firstLine="0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  <w:t xml:space="preserve">4.Татарников, О. В.  Элементы линейно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  <w:t xml:space="preserve">й алгебры : учебник и практикум для среднего профессионального образования / О. В. Татарников, А. С. Чуйко, В. Г. Шершнев ; под общей редакцией О. В. Татарникова. – Москва : Юрайт, 2016. – 334 с. – (Профессиональное образование). – ISBN 978-5-9916-6212-3.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</w:p>
    <w:p>
      <w:pPr>
        <w:pStyle w:val="847"/>
        <w:ind w:left="709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ar-SA"/>
        </w:rPr>
      </w:r>
    </w:p>
    <w:p>
      <w:pPr>
        <w:pStyle w:val="847"/>
        <w:contextualSpacing/>
        <w:jc w:val="center"/>
        <w:spacing w:before="0" w:after="200"/>
        <w:shd w:val="clear" w:color="auto" w:fill="ffff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contextualSpacing/>
        <w:jc w:val="center"/>
        <w:spacing w:before="0" w:after="200"/>
        <w:shd w:val="clear" w:color="auto" w:fill="ffff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contextualSpacing/>
        <w:jc w:val="center"/>
        <w:spacing w:before="0" w:after="20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47"/>
        <w:contextualSpacing/>
        <w:jc w:val="center"/>
        <w:spacing w:before="0" w:after="20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4850" w:type="pct"/>
        <w:tblInd w:w="13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45"/>
        <w:gridCol w:w="3011"/>
        <w:gridCol w:w="2418"/>
      </w:tblGrid>
      <w:tr>
        <w:tblPrEx/>
        <w:trPr>
          <w:trHeight w:val="2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5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1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847"/>
              <w:jc w:val="center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07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Знает: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приемы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технологичность сборочных единиц при ручной механизированной сборке, поточно-механизированной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автоматизированной сборке, правила и порядок разработки технологического процес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нормы охраны труда и бережливого производства, в том числе с использованием SCADA систем;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правила выполнения расчетов, связанных с наладкой работы металлорежущего и аддитивного оборудования, методы наладки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объемы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порядок работ по наладке и техобслуживанию;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цехов, методику расчета показателей эффективности использования основного и вспомогательного оборудования машиностроительного производства,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го подразделения,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видов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порядка расчёта припусков на механическую обработку и режимов резания, типовые технологические процессы изготовления деталей машин,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видов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управляющих программ в CAD/CAM системах;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технологичности сборочных единиц при ручной механизированной сборке, поточно-механизированной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автоматизированной сборке, правила и порядок разработки технологического процес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са сборки изделий, алгоритм сборки типовых изделий в 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аботы с ним, 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норм охраны труда и бережливого производства, в том числе с использованием SCADA систем;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правил выполнения расчетов, связанных с наладкой работы металлорежущего и аддитивного оборудования, методы наладки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объемов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порядок работ по наладке и техобслуживанию;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основ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цехов, методику расчета показателей эффективности использования основного и вспомогательного оборудования машиностроительного производства,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основ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го подразделения,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  <w:tr>
        <w:tblPrEx/>
        <w:trPr>
          <w:trHeight w:val="29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5" w:type="dxa"/>
            <w:vMerge w:val="restar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t xml:space="preserve">Умеет: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определить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определять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планировать процесс поиска; структурировать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 режимов резания с помощью CAD/CAM систем, разрабатывать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орки узлов и механизмов для осуществления сборки, выбирать сборочное оборудование, инструменты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обеспечивать безопасность работ по наладке,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расчеты, связанные с наладкой работы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выполнять расчеты, связанные с наладкой работы металлорежущего и аддитивного оборудования, оценивать точность функционирования металлорежущего оборудования на технологических позициях производственных участков;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оценивать наличие и потребность в материальных ресурса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х для обеспечения производственных задач, формировать рабочие задания и инструкции к ним в соответствии с производственными задачами, рассчитывать энергетические, информационные и материально-технические ресурсы в соответствии с производственными задачами.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необходимые ресурсы;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реализует составленный план;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определяет необходимые источники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планирует процесс поиска; структурирует получаемую информацию;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читает чертежи и требования к деталям служебного назначения, анализирует технологичность изделий, оформляет техническое задание на конструирование нестандартных приспособлений, режущего и измерительного инструмента;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Проектирует технологические операции, анализирует и выбирает схемы базирования, выбирает методы обработки поверхностей;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выполняет расчеты режимов резания с помощью CAD/CAM систем, разрабатывает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управляющие программы в CAD/CAM системах для металлорежущих станков и аддитивных установок, переносит управляющие программы на металлорежущие станки с числовым программным управлением, переносит модели деталей из CAD/CAM систем в аддитивном производстве;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выбирает способы восстановления и упрочнения изношенных деталей и нанесения защитного покрытия при разработке технологического процесса, выбирает приемы сб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орки узлов и механизмов для осуществления сборки, выбирает сборочное оборудование, инструменты и оснастку, специальные приспособления, применяемые в механосборочном производстве, выбирает подъёмно-транспортное оборудование для осуществления сборки изделий;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обеспечивает безопасность работ по наладке,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подналадке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и техническому обслуживанию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выполняет расчеты, связанные с наладкой работы металлорежущего и аддитивного оборудования;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выполняет расчеты, связанные с наладкой работы металлорежущего и аддитивного оборудования, оценивает точность функционирования металлорежущего оборудования на технологических позициях производственных участков;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организует производственный процесс, позволяющий увеличить производительность труда, определяет потребность в персонале для организации производственных процессов;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оценивает наличие и потребность в материальных ресурса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х для обеспечения производственных задач, формирует рабочие задания и инструкции к ним в соответствии с производственными задачами, рассчитывает энергетические, информационные и материально-технические ресурсы в соответствии с производственными задачами.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  <w:p>
            <w:pPr>
              <w:pStyle w:val="847"/>
              <w:jc w:val="both"/>
              <w:spacing w:before="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r/>
            <w:r/>
          </w:p>
        </w:tc>
      </w:tr>
    </w:tbl>
    <w:p>
      <w:pPr>
        <w:pStyle w:val="847"/>
        <w:jc w:val="both"/>
        <w:spacing w:before="0" w:after="0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sectPr>
      <w:footnotePr>
        <w:numFmt w:val="decimal"/>
      </w:footnotePr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 Полужирный"/>
  <w:font w:name="Tahoma">
    <w:panose1 w:val="020B0506030602030204"/>
  </w:font>
  <w:font w:name="Calibri">
    <w:panose1 w:val="020F0502020204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9" w:hanging="9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  <w:tabs>
          <w:tab w:val="num" w:pos="0" w:leader="none"/>
        </w:tabs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  <w:tabs>
          <w:tab w:val="num" w:pos="0" w:leader="none"/>
        </w:tabs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  <w:tabs>
          <w:tab w:val="num" w:pos="0" w:leader="none"/>
        </w:tabs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  <w:tabs>
          <w:tab w:val="num" w:pos="0" w:leader="none"/>
        </w:tabs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  <w:tabs>
          <w:tab w:val="num" w:pos="0" w:leader="none"/>
        </w:tabs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  <w:tabs>
          <w:tab w:val="num" w:pos="0" w:leader="none"/>
        </w:tabs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  <w:tabs>
          <w:tab w:val="num" w:pos="0" w:leader="none"/>
        </w:tabs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  <w:tabs>
          <w:tab w:val="num" w:pos="0" w:leader="none"/>
        </w:tabs>
      </w:pPr>
      <w:rPr>
        <w:i w:val="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9" w:hanging="9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7"/>
    <w:next w:val="847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7"/>
    <w:next w:val="847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7"/>
    <w:next w:val="847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7"/>
    <w:next w:val="847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7"/>
    <w:next w:val="847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7"/>
    <w:next w:val="84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7"/>
    <w:next w:val="847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7"/>
    <w:next w:val="847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7"/>
    <w:next w:val="847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47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47"/>
    <w:next w:val="847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47"/>
    <w:next w:val="847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47"/>
    <w:next w:val="847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7"/>
    <w:next w:val="847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47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847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character" w:styleId="706">
    <w:name w:val="Caption Char"/>
    <w:basedOn w:val="868"/>
    <w:link w:val="704"/>
    <w:uiPriority w:val="99"/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Footnote Text Char"/>
    <w:link w:val="871"/>
    <w:uiPriority w:val="99"/>
    <w:rPr>
      <w:sz w:val="18"/>
    </w:rPr>
  </w:style>
  <w:style w:type="paragraph" w:styleId="834">
    <w:name w:val="endnote text"/>
    <w:basedOn w:val="847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  <w:pPr>
      <w:spacing w:before="0" w:after="200" w:line="276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zh-CN" w:bidi="ar-SA"/>
    </w:rPr>
  </w:style>
  <w:style w:type="character" w:styleId="848">
    <w:name w:val="WW8Num1z0"/>
    <w:qFormat/>
  </w:style>
  <w:style w:type="character" w:styleId="849">
    <w:name w:val="WW8Num2z0"/>
    <w:qFormat/>
    <w:rPr>
      <w:b/>
    </w:rPr>
  </w:style>
  <w:style w:type="character" w:styleId="850">
    <w:name w:val="WW8Num2z1"/>
    <w:qFormat/>
    <w:rPr>
      <w:i w:val="0"/>
    </w:rPr>
  </w:style>
  <w:style w:type="character" w:styleId="851">
    <w:name w:val="WW8Num3z0"/>
    <w:qFormat/>
  </w:style>
  <w:style w:type="character" w:styleId="852">
    <w:name w:val="WW8Num4z0"/>
    <w:qFormat/>
  </w:style>
  <w:style w:type="character" w:styleId="853">
    <w:name w:val="WW8Num5z0"/>
    <w:qFormat/>
  </w:style>
  <w:style w:type="character" w:styleId="854">
    <w:name w:val="Основной шрифт абзаца"/>
    <w:qFormat/>
  </w:style>
  <w:style w:type="character" w:styleId="855">
    <w:name w:val="Текст примечания Знак"/>
    <w:qFormat/>
  </w:style>
  <w:style w:type="character" w:styleId="856">
    <w:name w:val="Текст сноски Знак"/>
    <w:qFormat/>
  </w:style>
  <w:style w:type="character" w:styleId="857">
    <w:name w:val="Footnote Characters"/>
    <w:qFormat/>
    <w:rPr>
      <w:rFonts w:cs="Times New Roman"/>
      <w:vertAlign w:val="superscript"/>
    </w:rPr>
  </w:style>
  <w:style w:type="character" w:styleId="858">
    <w:name w:val="Emphasis"/>
    <w:qFormat/>
    <w:rPr>
      <w:rFonts w:cs="Times New Roman"/>
      <w:i/>
    </w:rPr>
  </w:style>
  <w:style w:type="character" w:styleId="859">
    <w:name w:val="Знак примечания"/>
    <w:qFormat/>
    <w:rPr>
      <w:sz w:val="16"/>
      <w:szCs w:val="16"/>
    </w:rPr>
  </w:style>
  <w:style w:type="character" w:styleId="860">
    <w:name w:val="Текст выноски Знак"/>
    <w:qFormat/>
    <w:rPr>
      <w:rFonts w:ascii="Tahoma" w:hAnsi="Tahoma" w:cs="Tahoma"/>
      <w:sz w:val="16"/>
      <w:szCs w:val="16"/>
    </w:rPr>
  </w:style>
  <w:style w:type="character" w:styleId="861">
    <w:name w:val="Hyperlink"/>
    <w:rPr>
      <w:color w:val="000080"/>
      <w:u w:val="single"/>
    </w:rPr>
  </w:style>
  <w:style w:type="character" w:styleId="862">
    <w:name w:val="footnote reference"/>
    <w:rPr>
      <w:vertAlign w:val="superscript"/>
    </w:rPr>
  </w:style>
  <w:style w:type="character" w:styleId="863">
    <w:name w:val="endnote reference"/>
    <w:rPr>
      <w:vertAlign w:val="superscript"/>
    </w:rPr>
  </w:style>
  <w:style w:type="character" w:styleId="864">
    <w:name w:val="Endnote Characters"/>
    <w:qFormat/>
  </w:style>
  <w:style w:type="paragraph" w:styleId="865">
    <w:name w:val="Heading"/>
    <w:basedOn w:val="847"/>
    <w:next w:val="866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866">
    <w:name w:val="Body Text"/>
    <w:basedOn w:val="847"/>
    <w:pPr>
      <w:spacing w:before="0" w:after="140" w:line="276" w:lineRule="auto"/>
    </w:pPr>
  </w:style>
  <w:style w:type="paragraph" w:styleId="867">
    <w:name w:val="List"/>
    <w:basedOn w:val="866"/>
  </w:style>
  <w:style w:type="paragraph" w:styleId="868">
    <w:name w:val="Caption"/>
    <w:basedOn w:val="847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869">
    <w:name w:val="Index"/>
    <w:basedOn w:val="847"/>
    <w:qFormat/>
    <w:pPr>
      <w:suppressLineNumbers/>
    </w:pPr>
  </w:style>
  <w:style w:type="paragraph" w:styleId="870">
    <w:name w:val="Текст примечания"/>
    <w:basedOn w:val="847"/>
    <w:qFormat/>
    <w:rPr>
      <w:sz w:val="20"/>
      <w:szCs w:val="20"/>
    </w:rPr>
  </w:style>
  <w:style w:type="paragraph" w:styleId="871">
    <w:name w:val="footnote text"/>
    <w:basedOn w:val="847"/>
    <w:pPr>
      <w:spacing w:before="0" w:after="0" w:line="240" w:lineRule="auto"/>
    </w:pPr>
    <w:rPr>
      <w:rFonts w:ascii="Calibri" w:hAnsi="Calibri" w:eastAsia="Calibri" w:cs="Times New Roman"/>
      <w:sz w:val="20"/>
      <w:szCs w:val="20"/>
    </w:rPr>
  </w:style>
  <w:style w:type="paragraph" w:styleId="872">
    <w:name w:val="Текст выноски"/>
    <w:basedOn w:val="847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73">
    <w:name w:val="Table Contents"/>
    <w:basedOn w:val="847"/>
    <w:qFormat/>
    <w:pPr>
      <w:widowControl w:val="off"/>
      <w:suppressLineNumbers/>
    </w:pPr>
  </w:style>
  <w:style w:type="paragraph" w:styleId="874">
    <w:name w:val="Table Heading"/>
    <w:basedOn w:val="873"/>
    <w:qFormat/>
    <w:pPr>
      <w:jc w:val="center"/>
      <w:suppressLineNumbers/>
    </w:pPr>
    <w:rPr>
      <w:b/>
      <w:bCs/>
    </w:rPr>
  </w:style>
  <w:style w:type="numbering" w:styleId="875">
    <w:name w:val="WW8Num1"/>
    <w:qFormat/>
  </w:style>
  <w:style w:type="numbering" w:styleId="876">
    <w:name w:val="WW8Num2"/>
    <w:qFormat/>
  </w:style>
  <w:style w:type="numbering" w:styleId="877">
    <w:name w:val="WW8Num3"/>
    <w:qFormat/>
  </w:style>
  <w:style w:type="numbering" w:styleId="878">
    <w:name w:val="WW8Num4"/>
    <w:qFormat/>
  </w:style>
  <w:style w:type="numbering" w:styleId="879">
    <w:name w:val="WW8Num5"/>
    <w:qFormat/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  <w:style w:type="paragraph" w:styleId="883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84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490666" TargetMode="External"/><Relationship Id="rId11" Type="http://schemas.openxmlformats.org/officeDocument/2006/relationships/hyperlink" Target="https://urait.ru/bcode/49066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dc:language>en-US</dc:language>
  <cp:lastModifiedBy>Юлия Кисаубаева</cp:lastModifiedBy>
  <cp:revision>12</cp:revision>
  <dcterms:created xsi:type="dcterms:W3CDTF">2022-11-10T11:11:00Z</dcterms:created>
  <dcterms:modified xsi:type="dcterms:W3CDTF">2025-06-04T07:18:19Z</dcterms:modified>
</cp:coreProperties>
</file>